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1D" w:rsidRPr="00F3685D" w:rsidRDefault="00F3685D" w:rsidP="00F3685D">
      <w:pPr>
        <w:jc w:val="center"/>
        <w:rPr>
          <w:rFonts w:ascii="仿宋_GB2312" w:eastAsia="仿宋_GB2312" w:hAnsiTheme="majorEastAsia"/>
          <w:b/>
          <w:sz w:val="44"/>
          <w:szCs w:val="44"/>
        </w:rPr>
      </w:pPr>
      <w:r w:rsidRPr="00F3685D">
        <w:rPr>
          <w:rFonts w:ascii="仿宋_GB2312" w:eastAsia="仿宋_GB2312" w:hAnsiTheme="majorEastAsia" w:hint="eastAsia"/>
          <w:b/>
          <w:sz w:val="44"/>
          <w:szCs w:val="44"/>
        </w:rPr>
        <w:t>关于申报2014年度国家农业科技成果转化资金项目的通知</w:t>
      </w:r>
    </w:p>
    <w:p w:rsidR="00F3685D" w:rsidRPr="00F3685D" w:rsidRDefault="00F3685D" w:rsidP="00F3685D">
      <w:pPr>
        <w:rPr>
          <w:rFonts w:ascii="仿宋_GB2312" w:eastAsia="仿宋_GB2312" w:hAnsiTheme="majorEastAsia"/>
          <w:sz w:val="32"/>
          <w:szCs w:val="32"/>
        </w:rPr>
      </w:pPr>
      <w:r w:rsidRPr="00F3685D">
        <w:rPr>
          <w:rFonts w:ascii="仿宋_GB2312" w:eastAsia="仿宋_GB2312" w:hAnsiTheme="majorEastAsia" w:hint="eastAsia"/>
          <w:sz w:val="32"/>
          <w:szCs w:val="32"/>
        </w:rPr>
        <w:t>各有关单位：</w:t>
      </w:r>
    </w:p>
    <w:p w:rsid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根据甘肃省科技厅《省科技厅、省财政厅关于组织申报2014年度国家农转资金项目的通知》</w:t>
      </w:r>
      <w:r>
        <w:rPr>
          <w:rFonts w:ascii="仿宋_GB2312" w:eastAsia="仿宋_GB2312" w:hAnsiTheme="majorEastAsia" w:hint="eastAsia"/>
          <w:sz w:val="32"/>
          <w:szCs w:val="32"/>
        </w:rPr>
        <w:t>要求，为做好我校农转资金项目申报工作，现将有关事项通知如下：</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一、</w:t>
      </w:r>
      <w:r w:rsidRPr="00F3685D">
        <w:rPr>
          <w:rFonts w:ascii="仿宋_GB2312" w:eastAsia="仿宋_GB2312" w:hAnsiTheme="majorEastAsia" w:hint="eastAsia"/>
          <w:sz w:val="32"/>
          <w:szCs w:val="32"/>
        </w:rPr>
        <w:t>支持方向</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2014年度中央财政资金主要用于支持农产品生产、农产品加工、农产品质量安全、农业资源高效利用、农业装备与农用物资、农业和农村信息化、农业生态及农村环保以及涉农其它需要转化的科技成果与技术。</w:t>
      </w:r>
    </w:p>
    <w:p w:rsidR="00F3685D" w:rsidRPr="00F3685D" w:rsidRDefault="00F3685D" w:rsidP="00F3685D">
      <w:pPr>
        <w:rPr>
          <w:rFonts w:ascii="仿宋_GB2312" w:eastAsia="仿宋_GB2312" w:hAnsiTheme="majorEastAsia"/>
          <w:sz w:val="32"/>
          <w:szCs w:val="32"/>
        </w:rPr>
      </w:pPr>
      <w:r w:rsidRPr="00F3685D">
        <w:rPr>
          <w:rFonts w:ascii="仿宋_GB2312" w:eastAsia="仿宋_GB2312" w:hAnsiTheme="majorEastAsia" w:hint="eastAsia"/>
          <w:sz w:val="32"/>
          <w:szCs w:val="32"/>
        </w:rPr>
        <w:t>（一）动植物新品种培育及高效安全生产</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动植物新品种及培育技术，高效安全生产集成配套技术，标准化健康养殖、质量控制及疫病防控技术，饲料及饲料添加剂生产与安全技术及产品，农药高效安全施用技术与设备，重大气象灾害及森林火灾监测、预警、防控及农业气候脆弱性评估技术与产品等。</w:t>
      </w:r>
    </w:p>
    <w:p w:rsidR="00F3685D" w:rsidRPr="00F3685D" w:rsidRDefault="00F3685D" w:rsidP="00F3685D">
      <w:pPr>
        <w:rPr>
          <w:rFonts w:ascii="仿宋_GB2312" w:eastAsia="仿宋_GB2312" w:hAnsiTheme="majorEastAsia"/>
          <w:sz w:val="32"/>
          <w:szCs w:val="32"/>
        </w:rPr>
      </w:pPr>
      <w:r w:rsidRPr="00F3685D">
        <w:rPr>
          <w:rFonts w:ascii="仿宋_GB2312" w:eastAsia="仿宋_GB2312" w:hAnsiTheme="majorEastAsia" w:hint="eastAsia"/>
          <w:sz w:val="32"/>
          <w:szCs w:val="32"/>
        </w:rPr>
        <w:t>（二）农产品加工及质量安全与储运物流</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农产品加工技术与设备，加工副产物综合利用技术，农产品质量安全追溯与评价、检验检测、全程质量控制技术，鲜活农产品贮运保鲜与物流配送技术与设备等。</w:t>
      </w:r>
    </w:p>
    <w:p w:rsidR="00F3685D" w:rsidRPr="00F3685D" w:rsidRDefault="00F3685D" w:rsidP="00F3685D">
      <w:pPr>
        <w:rPr>
          <w:rFonts w:ascii="仿宋_GB2312" w:eastAsia="仿宋_GB2312" w:hAnsiTheme="majorEastAsia"/>
          <w:sz w:val="32"/>
          <w:szCs w:val="32"/>
        </w:rPr>
      </w:pPr>
      <w:r w:rsidRPr="00F3685D">
        <w:rPr>
          <w:rFonts w:ascii="仿宋_GB2312" w:eastAsia="仿宋_GB2312" w:hAnsiTheme="majorEastAsia" w:hint="eastAsia"/>
          <w:sz w:val="32"/>
          <w:szCs w:val="32"/>
        </w:rPr>
        <w:t>（三）农业资源高效利用</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lastRenderedPageBreak/>
        <w:t xml:space="preserve">    </w:t>
      </w:r>
      <w:r w:rsidRPr="00F3685D">
        <w:rPr>
          <w:rFonts w:ascii="仿宋_GB2312" w:eastAsia="仿宋_GB2312" w:hAnsiTheme="majorEastAsia" w:hint="eastAsia"/>
          <w:sz w:val="32"/>
          <w:szCs w:val="32"/>
        </w:rPr>
        <w:t>农林剩余物能源转化与资源化再利用技术，生物质能资源回收储运、预处理技术及设备，生物质燃料制备、高效利用技术与设备，大中型沼气综合开发配套技术及设备，农村节能技术与产品，生物基材料开发技术及设备等。</w:t>
      </w:r>
    </w:p>
    <w:p w:rsidR="00F3685D" w:rsidRPr="00F3685D" w:rsidRDefault="00F3685D" w:rsidP="00F3685D">
      <w:pPr>
        <w:rPr>
          <w:rFonts w:ascii="仿宋_GB2312" w:eastAsia="仿宋_GB2312" w:hAnsiTheme="majorEastAsia"/>
          <w:sz w:val="32"/>
          <w:szCs w:val="32"/>
        </w:rPr>
      </w:pPr>
      <w:r w:rsidRPr="00F3685D">
        <w:rPr>
          <w:rFonts w:ascii="仿宋_GB2312" w:eastAsia="仿宋_GB2312" w:hAnsiTheme="majorEastAsia" w:hint="eastAsia"/>
          <w:sz w:val="32"/>
          <w:szCs w:val="32"/>
        </w:rPr>
        <w:t>（四）农业装备</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新型农田作业机械、设施栽培技术装备，施肥、施药、节水灌溉及秸秆还田等技术装备，农作物收获、加工设备，农产品产后减损、精选分级和节能仓储技术与装备，林果业农机装备，畜禽和水产规模化养殖技术装备，适合山区特色的小型化农机具以及饲料加工技术装备等。</w:t>
      </w:r>
    </w:p>
    <w:p w:rsidR="00F3685D" w:rsidRPr="00F3685D" w:rsidRDefault="00F3685D" w:rsidP="00F3685D">
      <w:pPr>
        <w:rPr>
          <w:rFonts w:ascii="仿宋_GB2312" w:eastAsia="仿宋_GB2312" w:hAnsiTheme="majorEastAsia"/>
          <w:sz w:val="32"/>
          <w:szCs w:val="32"/>
        </w:rPr>
      </w:pPr>
      <w:r w:rsidRPr="00F3685D">
        <w:rPr>
          <w:rFonts w:ascii="仿宋_GB2312" w:eastAsia="仿宋_GB2312" w:hAnsiTheme="majorEastAsia" w:hint="eastAsia"/>
          <w:sz w:val="32"/>
          <w:szCs w:val="32"/>
        </w:rPr>
        <w:t>（五）农用物资</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生物型杀（抗）菌、杀（抗）虫、除草、灭鼠、植物生长调节剂生产技术及产品，新型高效低毒、低残留农药，生态环保地膜，新型高效环保肥料、栽培基质的生产技术与产品等。</w:t>
      </w:r>
    </w:p>
    <w:p w:rsidR="00F3685D" w:rsidRPr="00F3685D" w:rsidRDefault="00F3685D" w:rsidP="00F3685D">
      <w:pPr>
        <w:rPr>
          <w:rFonts w:ascii="仿宋_GB2312" w:eastAsia="仿宋_GB2312" w:hAnsiTheme="majorEastAsia"/>
          <w:sz w:val="32"/>
          <w:szCs w:val="32"/>
        </w:rPr>
      </w:pPr>
      <w:r w:rsidRPr="00F3685D">
        <w:rPr>
          <w:rFonts w:ascii="仿宋_GB2312" w:eastAsia="仿宋_GB2312" w:hAnsiTheme="majorEastAsia" w:hint="eastAsia"/>
          <w:sz w:val="32"/>
          <w:szCs w:val="32"/>
        </w:rPr>
        <w:t>（六）农业和农村信息化</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基于“三网融合”的农村信息服务技术与产品，农业生产智能决策、管理、监测、控制及农产品流通信息化技术与产品；田间信息获取、决策处方及精准作业技术与产品，面向农村科技推广、培训和服务的信息技术与产品等。</w:t>
      </w:r>
    </w:p>
    <w:p w:rsidR="00F3685D" w:rsidRPr="00F3685D" w:rsidRDefault="00F3685D" w:rsidP="00F3685D">
      <w:pPr>
        <w:rPr>
          <w:rFonts w:ascii="仿宋_GB2312" w:eastAsia="仿宋_GB2312" w:hAnsiTheme="majorEastAsia"/>
          <w:sz w:val="32"/>
          <w:szCs w:val="32"/>
        </w:rPr>
      </w:pPr>
      <w:r w:rsidRPr="00F3685D">
        <w:rPr>
          <w:rFonts w:ascii="仿宋_GB2312" w:eastAsia="仿宋_GB2312" w:hAnsiTheme="majorEastAsia" w:hint="eastAsia"/>
          <w:sz w:val="32"/>
          <w:szCs w:val="32"/>
        </w:rPr>
        <w:t>（七）农业生态及农村环保</w:t>
      </w:r>
    </w:p>
    <w:p w:rsid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重要水源区、湿地、退化草地植被恢复、重建与可持续</w:t>
      </w:r>
      <w:r w:rsidRPr="00F3685D">
        <w:rPr>
          <w:rFonts w:ascii="仿宋_GB2312" w:eastAsia="仿宋_GB2312" w:hAnsiTheme="majorEastAsia" w:hint="eastAsia"/>
          <w:sz w:val="32"/>
          <w:szCs w:val="32"/>
        </w:rPr>
        <w:lastRenderedPageBreak/>
        <w:t>利用技术，水土保持与小流域综合治理，退耕还林（草）与荒漠化治理，农田水利、农作物高效节水新技术、新材料与新设备，农村饮用水安全与节水新技术及设备，农业面源污染防治、农村污水无害化处理及垃圾、畜禽粪便等固体废弃物资源化利用技术与设备等。</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二、</w:t>
      </w:r>
      <w:r w:rsidRPr="00F3685D">
        <w:rPr>
          <w:rFonts w:ascii="仿宋_GB2312" w:eastAsia="仿宋_GB2312" w:hAnsiTheme="majorEastAsia" w:hint="eastAsia"/>
          <w:sz w:val="32"/>
          <w:szCs w:val="32"/>
        </w:rPr>
        <w:t>申报要求</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1．农业科技成果转化资金项目分为一般项目、重点项目和重大项目，支持额度分别为60万元、80万元、100万元，支持方式为无偿资助。项目实施周期为2年。</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2．申报单位为在中国境内依法登记注册，并具备独立法人资格的企业或研发机构。其中：申报主体为企业或由内资控股的，须注册成立1年以上，注册资金大于所申报项目的支持额度，资产负债率不超过60%，申请项目在其法人证书规定的业务范围之内；申报主体为研发机构的，具有成熟的农业科技成果，涉及到需要行业管理部门审核的成果，必须经过主管部门或其指定的法定资质机构审定或出具有关检测证明。</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3．重大项目与重点项目均须由企业牵头，一般项目优先支持由企业牵头，鼓励大学及科研机构与企业分别作为技术成果持有方和转化方共同承担。</w:t>
      </w:r>
    </w:p>
    <w:p w:rsid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4．不支持不符合国家产业政策、知识产权不清晰或有权属纠纷的项目；无自主创新的单纯技术引进，低水平重复、</w:t>
      </w:r>
      <w:r w:rsidRPr="00F3685D">
        <w:rPr>
          <w:rFonts w:ascii="仿宋_GB2312" w:eastAsia="仿宋_GB2312" w:hAnsiTheme="majorEastAsia" w:hint="eastAsia"/>
          <w:sz w:val="32"/>
          <w:szCs w:val="32"/>
        </w:rPr>
        <w:lastRenderedPageBreak/>
        <w:t>单纯扩大规模或基本建设的项目；已列入其他国家科技计划并得到国家科技经费支持的、目前尚未验收的项目。</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9A7749">
        <w:rPr>
          <w:rFonts w:ascii="仿宋_GB2312" w:eastAsia="仿宋_GB2312" w:hAnsiTheme="majorEastAsia" w:hint="eastAsia"/>
          <w:sz w:val="32"/>
          <w:szCs w:val="32"/>
        </w:rPr>
        <w:t>三、</w:t>
      </w:r>
      <w:r w:rsidRPr="00F3685D">
        <w:rPr>
          <w:rFonts w:ascii="仿宋_GB2312" w:eastAsia="仿宋_GB2312" w:hAnsiTheme="majorEastAsia" w:hint="eastAsia"/>
          <w:sz w:val="32"/>
          <w:szCs w:val="32"/>
        </w:rPr>
        <w:t>申报</w:t>
      </w:r>
      <w:r w:rsidR="00265FC3">
        <w:rPr>
          <w:rFonts w:ascii="仿宋_GB2312" w:eastAsia="仿宋_GB2312" w:hAnsiTheme="majorEastAsia" w:hint="eastAsia"/>
          <w:sz w:val="32"/>
          <w:szCs w:val="32"/>
        </w:rPr>
        <w:t>方式</w:t>
      </w:r>
    </w:p>
    <w:p w:rsidR="00A77DBE" w:rsidRDefault="00F3685D" w:rsidP="00F3685D">
      <w:pPr>
        <w:rPr>
          <w:rFonts w:ascii="仿宋_GB2312" w:eastAsia="仿宋_GB2312" w:hAnsiTheme="majorEastAsia" w:hint="eastAsia"/>
          <w:sz w:val="32"/>
          <w:szCs w:val="32"/>
        </w:rPr>
      </w:pPr>
      <w:r>
        <w:rPr>
          <w:rFonts w:ascii="仿宋_GB2312" w:eastAsia="仿宋_GB2312" w:hAnsiTheme="majorEastAsia" w:hint="eastAsia"/>
          <w:sz w:val="32"/>
          <w:szCs w:val="32"/>
        </w:rPr>
        <w:t xml:space="preserve">    </w:t>
      </w:r>
      <w:r w:rsidRPr="00F3685D">
        <w:rPr>
          <w:rFonts w:ascii="仿宋_GB2312" w:eastAsia="仿宋_GB2312" w:hAnsiTheme="majorEastAsia" w:hint="eastAsia"/>
          <w:sz w:val="32"/>
          <w:szCs w:val="32"/>
        </w:rPr>
        <w:t>农业科技成果转化资金项目</w:t>
      </w:r>
      <w:r w:rsidR="009A7749">
        <w:rPr>
          <w:rFonts w:ascii="仿宋_GB2312" w:eastAsia="仿宋_GB2312" w:hAnsiTheme="majorEastAsia" w:hint="eastAsia"/>
          <w:sz w:val="32"/>
          <w:szCs w:val="32"/>
        </w:rPr>
        <w:t>申报采取网上申报的方式</w:t>
      </w:r>
      <w:r w:rsidR="00FC679E">
        <w:rPr>
          <w:rFonts w:ascii="仿宋_GB2312" w:eastAsia="仿宋_GB2312" w:hAnsiTheme="majorEastAsia" w:hint="eastAsia"/>
          <w:sz w:val="32"/>
          <w:szCs w:val="32"/>
        </w:rPr>
        <w:t>，网络申报系统地址为</w:t>
      </w:r>
      <w:r w:rsidR="00FC679E" w:rsidRPr="00F3685D">
        <w:rPr>
          <w:rFonts w:ascii="仿宋_GB2312" w:eastAsia="仿宋_GB2312" w:hAnsiTheme="majorEastAsia" w:hint="eastAsia"/>
          <w:sz w:val="32"/>
          <w:szCs w:val="32"/>
        </w:rPr>
        <w:t>农业科技成果转化资金项目综合管理平台网站（http://www.agrifund.cn/）</w:t>
      </w:r>
      <w:r w:rsidR="00FC679E">
        <w:rPr>
          <w:rFonts w:ascii="仿宋_GB2312" w:eastAsia="仿宋_GB2312" w:hAnsiTheme="majorEastAsia" w:hint="eastAsia"/>
          <w:sz w:val="32"/>
          <w:szCs w:val="32"/>
        </w:rPr>
        <w:t>。</w:t>
      </w:r>
    </w:p>
    <w:p w:rsidR="00061CFA" w:rsidRDefault="00A77DBE" w:rsidP="00F3685D">
      <w:pPr>
        <w:rPr>
          <w:rFonts w:ascii="仿宋_GB2312" w:eastAsia="仿宋_GB2312" w:hAnsiTheme="majorEastAsia" w:hint="eastAsia"/>
          <w:sz w:val="32"/>
          <w:szCs w:val="32"/>
        </w:rPr>
      </w:pPr>
      <w:r>
        <w:rPr>
          <w:rFonts w:ascii="仿宋_GB2312" w:eastAsia="仿宋_GB2312" w:hAnsiTheme="majorEastAsia" w:hint="eastAsia"/>
          <w:sz w:val="32"/>
          <w:szCs w:val="32"/>
        </w:rPr>
        <w:t xml:space="preserve">    </w:t>
      </w:r>
      <w:r w:rsidR="00FC679E">
        <w:rPr>
          <w:rFonts w:ascii="仿宋_GB2312" w:eastAsia="仿宋_GB2312" w:hAnsiTheme="majorEastAsia" w:hint="eastAsia"/>
          <w:sz w:val="32"/>
          <w:szCs w:val="32"/>
        </w:rPr>
        <w:t>请有意申报的老师提前与科研处重大项目办联系，以便我们为您开通账户并创建项目。</w:t>
      </w:r>
      <w:r w:rsidR="00061CFA">
        <w:rPr>
          <w:rFonts w:ascii="仿宋_GB2312" w:eastAsia="仿宋_GB2312" w:hAnsiTheme="majorEastAsia" w:hint="eastAsia"/>
          <w:sz w:val="32"/>
          <w:szCs w:val="32"/>
        </w:rPr>
        <w:t>项目申请人及时登陆申报系统填写相关申报材料</w:t>
      </w:r>
      <w:r w:rsidR="00FC679E">
        <w:rPr>
          <w:rFonts w:ascii="仿宋_GB2312" w:eastAsia="仿宋_GB2312" w:hAnsiTheme="majorEastAsia" w:hint="eastAsia"/>
          <w:sz w:val="32"/>
          <w:szCs w:val="32"/>
        </w:rPr>
        <w:t>并于2014年9月8日前将</w:t>
      </w:r>
      <w:r w:rsidR="00061CFA">
        <w:rPr>
          <w:rFonts w:ascii="仿宋_GB2312" w:eastAsia="仿宋_GB2312" w:hAnsiTheme="majorEastAsia" w:hint="eastAsia"/>
          <w:sz w:val="32"/>
          <w:szCs w:val="32"/>
        </w:rPr>
        <w:t>在线填写完成的</w:t>
      </w:r>
      <w:r w:rsidR="00FC679E">
        <w:rPr>
          <w:rFonts w:ascii="仿宋_GB2312" w:eastAsia="仿宋_GB2312" w:hAnsiTheme="majorEastAsia" w:hint="eastAsia"/>
          <w:sz w:val="32"/>
          <w:szCs w:val="32"/>
        </w:rPr>
        <w:t>申报材料</w:t>
      </w:r>
      <w:r w:rsidR="00061CFA">
        <w:rPr>
          <w:rFonts w:ascii="仿宋_GB2312" w:eastAsia="仿宋_GB2312" w:hAnsiTheme="majorEastAsia" w:hint="eastAsia"/>
          <w:sz w:val="32"/>
          <w:szCs w:val="32"/>
        </w:rPr>
        <w:t>打印装订一式四份报送至科研处重大项目办（贵勤楼444A），逾期将不予受理。</w:t>
      </w:r>
    </w:p>
    <w:p w:rsidR="00265FC3" w:rsidRDefault="00061CFA" w:rsidP="00F3685D">
      <w:pPr>
        <w:rPr>
          <w:rFonts w:ascii="仿宋_GB2312" w:eastAsia="仿宋_GB2312" w:hAnsiTheme="majorEastAsia" w:hint="eastAsia"/>
          <w:sz w:val="32"/>
          <w:szCs w:val="32"/>
        </w:rPr>
      </w:pPr>
      <w:r>
        <w:rPr>
          <w:rFonts w:ascii="仿宋_GB2312" w:eastAsia="仿宋_GB2312" w:hAnsiTheme="majorEastAsia" w:hint="eastAsia"/>
          <w:sz w:val="32"/>
          <w:szCs w:val="32"/>
        </w:rPr>
        <w:t xml:space="preserve">    </w:t>
      </w:r>
      <w:r w:rsidR="00265FC3">
        <w:rPr>
          <w:rFonts w:ascii="仿宋_GB2312" w:eastAsia="仿宋_GB2312" w:hAnsiTheme="majorEastAsia" w:hint="eastAsia"/>
          <w:sz w:val="32"/>
          <w:szCs w:val="32"/>
        </w:rPr>
        <w:t>四、申报材料</w:t>
      </w:r>
    </w:p>
    <w:p w:rsidR="00F3685D" w:rsidRPr="00F3685D" w:rsidRDefault="00265FC3"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061CFA">
        <w:rPr>
          <w:rFonts w:ascii="仿宋_GB2312" w:eastAsia="仿宋_GB2312" w:hAnsiTheme="majorEastAsia" w:hint="eastAsia"/>
          <w:sz w:val="32"/>
          <w:szCs w:val="32"/>
        </w:rPr>
        <w:t>纸质版</w:t>
      </w:r>
      <w:r w:rsidR="00F3685D" w:rsidRPr="00F3685D">
        <w:rPr>
          <w:rFonts w:ascii="仿宋_GB2312" w:eastAsia="仿宋_GB2312" w:hAnsiTheme="majorEastAsia" w:hint="eastAsia"/>
          <w:sz w:val="32"/>
          <w:szCs w:val="32"/>
        </w:rPr>
        <w:t>申报材料包括《农业科技成果转化资金项目申请书》、《农业科技成果转化资金项目可行性研究报告》和相关附件。</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1．农业科技成果转化资金项目申请书：申请单位须按要求在线填写，并打印。</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2．农业科技成果转化资金项目可行性研究报告：申请单位须按编写提纲编写，在线提交并打印。报告中应当包括项目预算及其分解情况，所涉及的主要内容、技术路线、技术经济指标及计划进度，与项目申请书内容一致。</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3．附件材料</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lastRenderedPageBreak/>
        <w:t xml:space="preserve">    </w:t>
      </w:r>
      <w:r w:rsidR="00F3685D" w:rsidRPr="00F3685D">
        <w:rPr>
          <w:rFonts w:ascii="仿宋_GB2312" w:eastAsia="仿宋_GB2312" w:hAnsiTheme="majorEastAsia" w:hint="eastAsia"/>
          <w:sz w:val="32"/>
          <w:szCs w:val="32"/>
        </w:rPr>
        <w:t>（1）申请单位法人证明及组织机构代码证（复印件）。</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（2）成果证明</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——新品种：区试报告，或审定证书，或同等效力的证明；</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——新兽药：安全性评价与药效试验报告；</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——疫苗：临床试验批件；</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——新农药（含植物生长调节剂类）：田间试验报告与安全性评价报告；</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——饲料添加剂：安全性评价报告；</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——新肥料：田间试验报告及肥料检测报告；</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——机械类：样机检测报告与其他证明文件；</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——仪器类：样机检测报告与其他证明文件；</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——其它能证明成果情况的材料：认定证明、专利证明、或版权证明。</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（3）能说明项目知识产权归属及授权使用的证明文件（如：专利证书、软件著作权登记证书、技术转让合同等的复印件）。</w:t>
      </w:r>
    </w:p>
    <w:p w:rsidR="00F3685D" w:rsidRP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4）审计报告与财务报表：申请企业须提供2013年年度财务审计报告(含附注)及会计报表，并加盖会计师事务所的公章，会计报表包括资产负债表、损益表、现金流量表；事业单位须提供2013年度的会计报表，包括资产负债表、收入支出表、结余分配表等。会计报表须加盖申请单位的公</w:t>
      </w:r>
      <w:r w:rsidR="00F3685D" w:rsidRPr="00F3685D">
        <w:rPr>
          <w:rFonts w:ascii="仿宋_GB2312" w:eastAsia="仿宋_GB2312" w:hAnsiTheme="majorEastAsia" w:hint="eastAsia"/>
          <w:sz w:val="32"/>
          <w:szCs w:val="32"/>
        </w:rPr>
        <w:lastRenderedPageBreak/>
        <w:t>章。</w:t>
      </w:r>
    </w:p>
    <w:p w:rsidR="00F3685D" w:rsidRDefault="009A7749"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sidR="00F3685D" w:rsidRPr="00F3685D">
        <w:rPr>
          <w:rFonts w:ascii="仿宋_GB2312" w:eastAsia="仿宋_GB2312" w:hAnsiTheme="majorEastAsia" w:hint="eastAsia"/>
          <w:sz w:val="32"/>
          <w:szCs w:val="32"/>
        </w:rPr>
        <w:t>4．材料装订：纸质申报材料采用A4纸打印，按正式出版书籍样式装订（书脊上部注明申请项目名称、下部注明推荐单位）。装订顺序：封面、申请书、可行性研究报告、附件清单(目录)、附件、封底。封面文字内容按申请书首页格式填写。</w:t>
      </w:r>
    </w:p>
    <w:p w:rsidR="00265FC3" w:rsidRDefault="00F3685D" w:rsidP="00F3685D">
      <w:pPr>
        <w:rPr>
          <w:rFonts w:ascii="仿宋_GB2312" w:eastAsia="仿宋_GB2312" w:hAnsiTheme="majorEastAsia" w:hint="eastAsia"/>
          <w:sz w:val="32"/>
          <w:szCs w:val="32"/>
        </w:rPr>
      </w:pPr>
      <w:r>
        <w:rPr>
          <w:rFonts w:ascii="仿宋_GB2312" w:eastAsia="仿宋_GB2312" w:hAnsiTheme="majorEastAsia" w:hint="eastAsia"/>
          <w:sz w:val="32"/>
          <w:szCs w:val="32"/>
        </w:rPr>
        <w:t xml:space="preserve">    </w:t>
      </w:r>
      <w:r w:rsidR="00061CFA">
        <w:rPr>
          <w:rFonts w:ascii="仿宋_GB2312" w:eastAsia="仿宋_GB2312" w:hAnsiTheme="majorEastAsia" w:hint="eastAsia"/>
          <w:sz w:val="32"/>
          <w:szCs w:val="32"/>
        </w:rPr>
        <w:t>联系</w:t>
      </w:r>
      <w:r w:rsidR="00265FC3">
        <w:rPr>
          <w:rFonts w:ascii="仿宋_GB2312" w:eastAsia="仿宋_GB2312" w:hAnsiTheme="majorEastAsia" w:hint="eastAsia"/>
          <w:sz w:val="32"/>
          <w:szCs w:val="32"/>
        </w:rPr>
        <w:t>人：张东凯</w:t>
      </w:r>
    </w:p>
    <w:p w:rsidR="00F3685D" w:rsidRDefault="00265FC3" w:rsidP="00F3685D">
      <w:pPr>
        <w:rPr>
          <w:rFonts w:ascii="仿宋_GB2312" w:eastAsia="仿宋_GB2312" w:hAnsiTheme="majorEastAsia" w:hint="eastAsia"/>
          <w:sz w:val="32"/>
          <w:szCs w:val="32"/>
        </w:rPr>
      </w:pPr>
      <w:r>
        <w:rPr>
          <w:rFonts w:ascii="仿宋_GB2312" w:eastAsia="仿宋_GB2312" w:hAnsiTheme="majorEastAsia" w:hint="eastAsia"/>
          <w:sz w:val="32"/>
          <w:szCs w:val="32"/>
        </w:rPr>
        <w:t xml:space="preserve">    电  话：8914330</w:t>
      </w:r>
    </w:p>
    <w:p w:rsidR="00061CFA" w:rsidRDefault="00061CFA" w:rsidP="00F3685D">
      <w:pPr>
        <w:rPr>
          <w:rFonts w:ascii="仿宋_GB2312" w:eastAsia="仿宋_GB2312" w:hAnsiTheme="majorEastAsia" w:hint="eastAsia"/>
          <w:sz w:val="32"/>
          <w:szCs w:val="32"/>
        </w:rPr>
      </w:pPr>
      <w:r>
        <w:rPr>
          <w:rFonts w:ascii="仿宋_GB2312" w:eastAsia="仿宋_GB2312" w:hAnsiTheme="majorEastAsia" w:hint="eastAsia"/>
          <w:sz w:val="32"/>
          <w:szCs w:val="32"/>
        </w:rPr>
        <w:t xml:space="preserve">    </w:t>
      </w:r>
    </w:p>
    <w:p w:rsidR="00265FC3" w:rsidRDefault="00265FC3" w:rsidP="00F3685D">
      <w:pPr>
        <w:rPr>
          <w:rFonts w:ascii="仿宋_GB2312" w:eastAsia="仿宋_GB2312" w:hAnsiTheme="majorEastAsia" w:hint="eastAsia"/>
          <w:sz w:val="32"/>
          <w:szCs w:val="32"/>
        </w:rPr>
      </w:pPr>
      <w:r>
        <w:rPr>
          <w:rFonts w:ascii="仿宋_GB2312" w:eastAsia="仿宋_GB2312" w:hAnsiTheme="majorEastAsia" w:hint="eastAsia"/>
          <w:sz w:val="32"/>
          <w:szCs w:val="32"/>
        </w:rPr>
        <w:t xml:space="preserve">                    科学研究处、社会科学处</w:t>
      </w:r>
    </w:p>
    <w:p w:rsidR="00265FC3" w:rsidRPr="00265FC3" w:rsidRDefault="00265FC3"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r>
        <w:rPr>
          <w:rFonts w:ascii="仿宋_GB2312" w:eastAsia="仿宋_GB2312" w:hAnsiTheme="majorEastAsia"/>
          <w:sz w:val="32"/>
          <w:szCs w:val="32"/>
        </w:rPr>
        <w:t>2014年8月26日</w:t>
      </w:r>
    </w:p>
    <w:p w:rsidR="00F3685D" w:rsidRPr="00F3685D" w:rsidRDefault="00F3685D" w:rsidP="00F3685D">
      <w:pPr>
        <w:rPr>
          <w:rFonts w:ascii="仿宋_GB2312" w:eastAsia="仿宋_GB2312" w:hAnsiTheme="majorEastAsia"/>
          <w:sz w:val="32"/>
          <w:szCs w:val="32"/>
        </w:rPr>
      </w:pPr>
      <w:r>
        <w:rPr>
          <w:rFonts w:ascii="仿宋_GB2312" w:eastAsia="仿宋_GB2312" w:hAnsiTheme="majorEastAsia" w:hint="eastAsia"/>
          <w:sz w:val="32"/>
          <w:szCs w:val="32"/>
        </w:rPr>
        <w:t xml:space="preserve">    </w:t>
      </w:r>
    </w:p>
    <w:sectPr w:rsidR="00F3685D" w:rsidRPr="00F3685D" w:rsidSect="00ED2A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300" w:rsidRDefault="00D80300" w:rsidP="00F3685D">
      <w:r>
        <w:separator/>
      </w:r>
    </w:p>
  </w:endnote>
  <w:endnote w:type="continuationSeparator" w:id="1">
    <w:p w:rsidR="00D80300" w:rsidRDefault="00D80300" w:rsidP="00F368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300" w:rsidRDefault="00D80300" w:rsidP="00F3685D">
      <w:r>
        <w:separator/>
      </w:r>
    </w:p>
  </w:footnote>
  <w:footnote w:type="continuationSeparator" w:id="1">
    <w:p w:rsidR="00D80300" w:rsidRDefault="00D80300" w:rsidP="00F368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85D"/>
    <w:rsid w:val="00061CFA"/>
    <w:rsid w:val="00265FC3"/>
    <w:rsid w:val="00850AF6"/>
    <w:rsid w:val="009A7749"/>
    <w:rsid w:val="00A77DBE"/>
    <w:rsid w:val="00BD1BF1"/>
    <w:rsid w:val="00D80300"/>
    <w:rsid w:val="00ED2A1D"/>
    <w:rsid w:val="00F3685D"/>
    <w:rsid w:val="00FC6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A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6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685D"/>
    <w:rPr>
      <w:sz w:val="18"/>
      <w:szCs w:val="18"/>
    </w:rPr>
  </w:style>
  <w:style w:type="paragraph" w:styleId="a4">
    <w:name w:val="footer"/>
    <w:basedOn w:val="a"/>
    <w:link w:val="Char0"/>
    <w:uiPriority w:val="99"/>
    <w:semiHidden/>
    <w:unhideWhenUsed/>
    <w:rsid w:val="00F368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685D"/>
    <w:rPr>
      <w:sz w:val="18"/>
      <w:szCs w:val="18"/>
    </w:rPr>
  </w:style>
</w:styles>
</file>

<file path=word/webSettings.xml><?xml version="1.0" encoding="utf-8"?>
<w:webSettings xmlns:r="http://schemas.openxmlformats.org/officeDocument/2006/relationships" xmlns:w="http://schemas.openxmlformats.org/wordprocessingml/2006/main">
  <w:divs>
    <w:div w:id="18286588">
      <w:bodyDiv w:val="1"/>
      <w:marLeft w:val="0"/>
      <w:marRight w:val="0"/>
      <w:marTop w:val="0"/>
      <w:marBottom w:val="0"/>
      <w:divBdr>
        <w:top w:val="none" w:sz="0" w:space="0" w:color="auto"/>
        <w:left w:val="none" w:sz="0" w:space="0" w:color="auto"/>
        <w:bottom w:val="none" w:sz="0" w:space="0" w:color="auto"/>
        <w:right w:val="none" w:sz="0" w:space="0" w:color="auto"/>
      </w:divBdr>
      <w:divsChild>
        <w:div w:id="550310870">
          <w:marLeft w:val="0"/>
          <w:marRight w:val="0"/>
          <w:marTop w:val="0"/>
          <w:marBottom w:val="0"/>
          <w:divBdr>
            <w:top w:val="none" w:sz="0" w:space="0" w:color="auto"/>
            <w:left w:val="none" w:sz="0" w:space="0" w:color="auto"/>
            <w:bottom w:val="none" w:sz="0" w:space="0" w:color="auto"/>
            <w:right w:val="none" w:sz="0" w:space="0" w:color="auto"/>
          </w:divBdr>
          <w:divsChild>
            <w:div w:id="15654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4555">
      <w:bodyDiv w:val="1"/>
      <w:marLeft w:val="0"/>
      <w:marRight w:val="0"/>
      <w:marTop w:val="0"/>
      <w:marBottom w:val="0"/>
      <w:divBdr>
        <w:top w:val="none" w:sz="0" w:space="0" w:color="auto"/>
        <w:left w:val="none" w:sz="0" w:space="0" w:color="auto"/>
        <w:bottom w:val="none" w:sz="0" w:space="0" w:color="auto"/>
        <w:right w:val="none" w:sz="0" w:space="0" w:color="auto"/>
      </w:divBdr>
      <w:divsChild>
        <w:div w:id="991905230">
          <w:marLeft w:val="0"/>
          <w:marRight w:val="0"/>
          <w:marTop w:val="0"/>
          <w:marBottom w:val="0"/>
          <w:divBdr>
            <w:top w:val="none" w:sz="0" w:space="0" w:color="auto"/>
            <w:left w:val="none" w:sz="0" w:space="0" w:color="auto"/>
            <w:bottom w:val="none" w:sz="0" w:space="0" w:color="auto"/>
            <w:right w:val="none" w:sz="0" w:space="0" w:color="auto"/>
          </w:divBdr>
          <w:divsChild>
            <w:div w:id="12715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7615">
      <w:bodyDiv w:val="1"/>
      <w:marLeft w:val="0"/>
      <w:marRight w:val="0"/>
      <w:marTop w:val="0"/>
      <w:marBottom w:val="0"/>
      <w:divBdr>
        <w:top w:val="none" w:sz="0" w:space="0" w:color="auto"/>
        <w:left w:val="none" w:sz="0" w:space="0" w:color="auto"/>
        <w:bottom w:val="none" w:sz="0" w:space="0" w:color="auto"/>
        <w:right w:val="none" w:sz="0" w:space="0" w:color="auto"/>
      </w:divBdr>
      <w:divsChild>
        <w:div w:id="623779379">
          <w:marLeft w:val="0"/>
          <w:marRight w:val="0"/>
          <w:marTop w:val="0"/>
          <w:marBottom w:val="0"/>
          <w:divBdr>
            <w:top w:val="none" w:sz="0" w:space="0" w:color="auto"/>
            <w:left w:val="none" w:sz="0" w:space="0" w:color="auto"/>
            <w:bottom w:val="none" w:sz="0" w:space="0" w:color="auto"/>
            <w:right w:val="none" w:sz="0" w:space="0" w:color="auto"/>
          </w:divBdr>
          <w:divsChild>
            <w:div w:id="10356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4198">
      <w:bodyDiv w:val="1"/>
      <w:marLeft w:val="0"/>
      <w:marRight w:val="0"/>
      <w:marTop w:val="0"/>
      <w:marBottom w:val="0"/>
      <w:divBdr>
        <w:top w:val="none" w:sz="0" w:space="0" w:color="auto"/>
        <w:left w:val="none" w:sz="0" w:space="0" w:color="auto"/>
        <w:bottom w:val="none" w:sz="0" w:space="0" w:color="auto"/>
        <w:right w:val="none" w:sz="0" w:space="0" w:color="auto"/>
      </w:divBdr>
      <w:divsChild>
        <w:div w:id="1185167530">
          <w:marLeft w:val="0"/>
          <w:marRight w:val="0"/>
          <w:marTop w:val="0"/>
          <w:marBottom w:val="0"/>
          <w:divBdr>
            <w:top w:val="none" w:sz="0" w:space="0" w:color="auto"/>
            <w:left w:val="none" w:sz="0" w:space="0" w:color="auto"/>
            <w:bottom w:val="none" w:sz="0" w:space="0" w:color="auto"/>
            <w:right w:val="none" w:sz="0" w:space="0" w:color="auto"/>
          </w:divBdr>
          <w:divsChild>
            <w:div w:id="1709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kyczdb</dc:creator>
  <cp:keywords/>
  <dc:description/>
  <cp:lastModifiedBy>kyczdb</cp:lastModifiedBy>
  <cp:revision>4</cp:revision>
  <dcterms:created xsi:type="dcterms:W3CDTF">2014-08-26T03:31:00Z</dcterms:created>
  <dcterms:modified xsi:type="dcterms:W3CDTF">2014-08-26T07:28:00Z</dcterms:modified>
</cp:coreProperties>
</file>